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5D134" w14:textId="77777777" w:rsidR="00735508" w:rsidRDefault="00735508" w:rsidP="00735508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OLE_LINK1"/>
    </w:p>
    <w:p w14:paraId="707E400A" w14:textId="77777777" w:rsidR="00735508" w:rsidRDefault="00735508" w:rsidP="0073550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236F9">
        <w:rPr>
          <w:rFonts w:ascii="Arial" w:hAnsi="Arial" w:cs="Arial"/>
          <w:b/>
          <w:bCs/>
          <w:sz w:val="24"/>
          <w:szCs w:val="24"/>
        </w:rPr>
        <w:t>Reunião Ordinária do Comitê de Investimentos.</w:t>
      </w:r>
    </w:p>
    <w:p w14:paraId="4D88524B" w14:textId="77075CC1" w:rsidR="00735508" w:rsidRPr="000236F9" w:rsidRDefault="00735508" w:rsidP="00735508">
      <w:pPr>
        <w:jc w:val="both"/>
        <w:rPr>
          <w:rFonts w:ascii="Arial" w:hAnsi="Arial" w:cs="Arial"/>
          <w:sz w:val="24"/>
          <w:szCs w:val="24"/>
        </w:rPr>
      </w:pPr>
      <w:r w:rsidRPr="000236F9">
        <w:rPr>
          <w:rFonts w:ascii="Arial" w:hAnsi="Arial" w:cs="Arial"/>
          <w:b/>
          <w:bCs/>
          <w:sz w:val="24"/>
          <w:szCs w:val="24"/>
        </w:rPr>
        <w:br/>
      </w:r>
      <w:r w:rsidRPr="000236F9">
        <w:rPr>
          <w:rFonts w:ascii="Arial" w:hAnsi="Arial" w:cs="Arial"/>
          <w:sz w:val="24"/>
          <w:szCs w:val="24"/>
        </w:rPr>
        <w:t xml:space="preserve">Aos quinze (15) dias do mês de abril de dois mil e vinte e seis, às treze (13) horas, na sede do Instituto de Previdência dos Servidores Públicos do Município de Guanhães – GuanhãesPrev, situada na Rua Monsenhor Pinheiro, nº 101, Centro, Guanhães/MG, reuniu-se o Comitê de Investimentos, com a presença de Cláudia Aparecida Monteiro dos Santos, Daniel Fernando da Silva, Francielle Elgita de Oliveira Costa, Humberto Salvador Ferreira Lopes e Rosimery Aparecida Inácio de Pinho Procópio, bem como de Rodrigo Guimarães, representante da Lema Assessoria de Investimentos, que participou de forma remota. A reunião foi aberta por Francielle Elgita de Oliveira Costa, que </w:t>
      </w:r>
      <w:r>
        <w:rPr>
          <w:rFonts w:ascii="Arial" w:hAnsi="Arial" w:cs="Arial"/>
          <w:sz w:val="24"/>
          <w:szCs w:val="24"/>
        </w:rPr>
        <w:t>cumprimentou</w:t>
      </w:r>
      <w:r w:rsidRPr="000236F9">
        <w:rPr>
          <w:rFonts w:ascii="Arial" w:hAnsi="Arial" w:cs="Arial"/>
          <w:sz w:val="24"/>
          <w:szCs w:val="24"/>
        </w:rPr>
        <w:t xml:space="preserve"> os presentes e informou que a pauta consistia na análise do cenário econômico, bem como na apresentação e avaliação do Relatório de Investimentos referente ao mês de março de 2026, contemplando o desempenho patrimonial, a rentabilidade, o enquadramento, a liquidez e o posicionamento da carteira do Instituto. Na sequência, passou a palavra ao Sr. Rodrigo Guimarães, que informou que sua exposição seria estruturada em três etapas: cenário internacional, cenário nacional e análise consolidada da carteira de investimentos.</w:t>
      </w:r>
      <w:r>
        <w:rPr>
          <w:rFonts w:ascii="Arial" w:hAnsi="Arial" w:cs="Arial"/>
          <w:sz w:val="24"/>
          <w:szCs w:val="24"/>
        </w:rPr>
        <w:t xml:space="preserve"> </w:t>
      </w:r>
      <w:r w:rsidRPr="000236F9">
        <w:rPr>
          <w:rFonts w:ascii="Arial" w:hAnsi="Arial" w:cs="Arial"/>
          <w:sz w:val="24"/>
          <w:szCs w:val="24"/>
        </w:rPr>
        <w:t>No tocante ao cenário internacional, destacou a taxa de juros norte-americana, com probabilidade de 99,5% de manutenção no intervalo entre 3,50% e 3,75%, esclarecendo o mecanismo de definição por faixas e votação, bem como a possível correlação entre movimentos de redução de juros e o contexto geopolítico envolvendo os Estados Unidos, com potenciais reflexos de estímulo à atividade industrial. Abordou o desempenho dos principais índices globais, ressaltando o retorno negativo do S&amp;P 500 em 2026 (-0,42%), em contraposição aos resultados positivos observados nas bolsas asiáticas (2,88%), emergentes (11,83%) e europeias (5,56%), além de indicadores como IPCA (+5,62%) e IMA (+3,68%). Destacou, ainda, o desempenho negativo de ativos como BB Ações Globais, BDRX e Caixa BDR Nível I, ressaltando que, embora o mercado asiático venha apresentando resultados positivos desde o exercício anterior, permanece sujeito a riscos. Em relação ao mercado cambial, informou a desvalorização do dólar frente ao real em 2026 (-9,25%), bem como retrações de 0,29% no mês de abril e de 4,07% no acumulado recente, além da queda de 1,93% do índice DXY em março, esclarecendo que tal movimento decorreu do cenário internacional, influenciado por tensões geopolíticas, e não por valorização estrutural do real.</w:t>
      </w:r>
      <w:r>
        <w:rPr>
          <w:rFonts w:ascii="Arial" w:hAnsi="Arial" w:cs="Arial"/>
          <w:sz w:val="24"/>
          <w:szCs w:val="24"/>
        </w:rPr>
        <w:t xml:space="preserve"> </w:t>
      </w:r>
      <w:r w:rsidRPr="000236F9">
        <w:rPr>
          <w:rFonts w:ascii="Arial" w:hAnsi="Arial" w:cs="Arial"/>
          <w:sz w:val="24"/>
          <w:szCs w:val="24"/>
        </w:rPr>
        <w:t xml:space="preserve">No cenário nacional, destacou a revisão da projeção do Produto Interno Bruto (PIB) para 1,6% pelo Banco Mundial, em comparação à estimativa anterior de 1,8%, bem como a visão relativamente mais otimista do Fundo Monetário Internacional, ainda que com menor robustez regional. Abordou o IPCA mensal de 0,88%, ainda dentro da banda de tolerância, porém em elevação em relação ao mês anterior, e a balança comercial, que registrou superávit de US$ 6,4 bilhões em março, sendo o menor resultado para o mês nos últimos seis anos, em contraste com o crescimento de 47,6% no primeiro trimestre de 2026 em relação ao mesmo período de 2025. Em relação ao Ibovespa, destacou a valorização contínua e o atingimento de máxima histórica próxima a 198 mil pontos, </w:t>
      </w:r>
      <w:r w:rsidRPr="000236F9">
        <w:rPr>
          <w:rFonts w:ascii="Arial" w:hAnsi="Arial" w:cs="Arial"/>
          <w:sz w:val="24"/>
          <w:szCs w:val="24"/>
        </w:rPr>
        <w:lastRenderedPageBreak/>
        <w:t>alertando para possível movimento de correção diante da elevação acentuada observada recentemente. No Relatório Focus, ressaltou a projeção de IPCA em 4,71%, com impacto sobre a meta atuarial, IPCA acumulado em 3,91%, tendência de redução do câmbio, crescimento do PIB em 1,85% e taxa Selic estimada em 12,5%.</w:t>
      </w:r>
      <w:r>
        <w:rPr>
          <w:rFonts w:ascii="Arial" w:hAnsi="Arial" w:cs="Arial"/>
          <w:sz w:val="24"/>
          <w:szCs w:val="24"/>
        </w:rPr>
        <w:t xml:space="preserve"> </w:t>
      </w:r>
      <w:r w:rsidRPr="000236F9">
        <w:rPr>
          <w:rFonts w:ascii="Arial" w:hAnsi="Arial" w:cs="Arial"/>
          <w:sz w:val="24"/>
          <w:szCs w:val="24"/>
        </w:rPr>
        <w:t>Na sequência, passou-se à apresentação do Relatório de Investimentos referente ao mês de março de 2026. Informou-se que o patrimônio total do GuanhãesPrev encerrou o período em R$ 45.695.534,64, mantendo trajetória de estabilidade e crescimento. No mês de março, a carteira apresentou rentabilidade de 0,99%, frente à meta atuarial de 1,34%, resultando em gap negativo de 0,35 ponto percentual no período. No acumulado do exercício de 2026, a carteira registra rentabilidade de 3,47%, superando a meta acumulada de 3,33%, com gap positivo de 0,14 ponto percentual, evidenciando aderência ao objetivo atuarial no horizonte anual.</w:t>
      </w:r>
      <w:r>
        <w:rPr>
          <w:rFonts w:ascii="Arial" w:hAnsi="Arial" w:cs="Arial"/>
          <w:sz w:val="24"/>
          <w:szCs w:val="24"/>
        </w:rPr>
        <w:t xml:space="preserve"> </w:t>
      </w:r>
      <w:r w:rsidRPr="000236F9">
        <w:rPr>
          <w:rFonts w:ascii="Arial" w:hAnsi="Arial" w:cs="Arial"/>
          <w:sz w:val="24"/>
          <w:szCs w:val="24"/>
        </w:rPr>
        <w:t>No que se refere à composição da carteira, destacou-se o perfil conservador, com 99,53% dos recursos alocados em ativos de renda fixa e 0,47% em fundos imobiliários, evidenciando estratégia voltada à preservação de capital, liquidez e controle de volatilidade. Quanto ao enquadramento, observou-se concentração em fundos de renda fixa referenciados em títulos públicos federais (56,74%), seguida por fundos de renda fixa diversos (24,62%), títulos públicos diretos (12,59%) e investimentos em FIDC (5,59%), todos em conformidade com os limites regulamentares.</w:t>
      </w:r>
      <w:r>
        <w:rPr>
          <w:rFonts w:ascii="Arial" w:hAnsi="Arial" w:cs="Arial"/>
          <w:sz w:val="24"/>
          <w:szCs w:val="24"/>
        </w:rPr>
        <w:t xml:space="preserve"> </w:t>
      </w:r>
      <w:r w:rsidRPr="000236F9">
        <w:rPr>
          <w:rFonts w:ascii="Arial" w:hAnsi="Arial" w:cs="Arial"/>
          <w:sz w:val="24"/>
          <w:szCs w:val="24"/>
        </w:rPr>
        <w:t>Em relação ao desempenho, foi ressaltado que os principais vetores positivos no período foram os fundos conservadores atrelados ao CDI e IRF-M 1, bem como os títulos públicos, favorecidos pelo ambiente de juros elevados. Na análise de rentabilidade mensal comparativa, observou-se meta atuarial de 1,25% no período analisado, com o CDI ligeiramente abaixo da inflação, índices globais e Ibovespa abaixo da meta no mês, enquanto os índices IDKA IPCA 2 anos e IMA-B5 apresentaram desempenho superior. No acumulado do ano, o CDI (3,27%) manteve-se acima da meta atuarial, assim como o IRF-M, com destaque também para a valorização do Ibovespa (aproximadamente 16%) e desempenho do IDKA IPCA 2 anos.</w:t>
      </w:r>
      <w:r>
        <w:rPr>
          <w:rFonts w:ascii="Arial" w:hAnsi="Arial" w:cs="Arial"/>
          <w:sz w:val="24"/>
          <w:szCs w:val="24"/>
        </w:rPr>
        <w:t xml:space="preserve"> </w:t>
      </w:r>
      <w:r w:rsidRPr="000236F9">
        <w:rPr>
          <w:rFonts w:ascii="Arial" w:hAnsi="Arial" w:cs="Arial"/>
          <w:sz w:val="24"/>
          <w:szCs w:val="24"/>
        </w:rPr>
        <w:t>No aspecto da liquidez, foi informado que 86,82% da carteira encontra-se disponível para resgate em até 30 dias, demonstrando adequada capacidade de cumprimento das obrigações previdenciárias e flexibilidade para realocações táticas. Como ponto de atenção, foram destacadas posições residuais em ativos de menor liquidez e maior complexidade, recomendando-se monitoramento técnico contínuo.</w:t>
      </w:r>
      <w:r>
        <w:rPr>
          <w:rFonts w:ascii="Arial" w:hAnsi="Arial" w:cs="Arial"/>
          <w:sz w:val="24"/>
          <w:szCs w:val="24"/>
        </w:rPr>
        <w:t xml:space="preserve"> </w:t>
      </w:r>
      <w:r w:rsidRPr="000236F9">
        <w:rPr>
          <w:rFonts w:ascii="Arial" w:hAnsi="Arial" w:cs="Arial"/>
          <w:sz w:val="24"/>
          <w:szCs w:val="24"/>
        </w:rPr>
        <w:t>No que tange à análise da carteira, o expositor informou a identificação de inconsistências pontuais na base de dados, em processo de correção, destacando que, até o mês de fevereiro, a rentabilidade encontrava-se aproximadamente 0,5 ponto percentual acima da meta atuarial, com volatilidade de 0,32, considerada adequada. Ressaltou que a alocação majoritária em renda fixa, especialmente em ativos atrelados ao CDI e IRF-M1, contribui para a estabilidade dos resultados, embora o comportamento inflacionário tenha impactado o desempenho mensal, sem comprometer o resultado acumulado. Após atualização parcial, confirmou-se superação da meta nos meses de janeiro e fevereiro, e não atingimento em março, em razão da elevação inflacionária, mantendo-se, entretanto, o desempenho acumulado acima da meta.</w:t>
      </w:r>
      <w:r>
        <w:rPr>
          <w:rFonts w:ascii="Arial" w:hAnsi="Arial" w:cs="Arial"/>
          <w:sz w:val="24"/>
          <w:szCs w:val="24"/>
        </w:rPr>
        <w:t xml:space="preserve"> </w:t>
      </w:r>
      <w:r w:rsidRPr="000236F9">
        <w:rPr>
          <w:rFonts w:ascii="Arial" w:hAnsi="Arial" w:cs="Arial"/>
          <w:sz w:val="24"/>
          <w:szCs w:val="24"/>
        </w:rPr>
        <w:t xml:space="preserve">Aberta a palavra para manifestações, a membro Rosimery questionou acerca da consolidação dos dados apresentados, sendo esclarecido que contemplavam </w:t>
      </w:r>
      <w:r w:rsidRPr="000236F9">
        <w:rPr>
          <w:rFonts w:ascii="Arial" w:hAnsi="Arial" w:cs="Arial"/>
          <w:sz w:val="24"/>
          <w:szCs w:val="24"/>
        </w:rPr>
        <w:lastRenderedPageBreak/>
        <w:t>informações até março. Na sequência, indagou sobre a evolução patrimonial, tendo sido inicialmente apontada variação superior à efetivamente verificada, o que motivou revisão dos dados. Após conferência, apurou-se crescimento patrimonial positivo, ainda que em menor magnitude, da ordem aproximada de R$ 222 mil no período analisado, considerado satisfatório. Foi esclarecido que a divergência decorreu da não inclusão, em análise anterior, de valores disponíveis não aplicados</w:t>
      </w:r>
      <w:r>
        <w:rPr>
          <w:rFonts w:ascii="Arial" w:hAnsi="Arial" w:cs="Arial"/>
          <w:sz w:val="24"/>
          <w:szCs w:val="24"/>
        </w:rPr>
        <w:t xml:space="preserve"> e que estavam em disponibilidade</w:t>
      </w:r>
      <w:r w:rsidRPr="000236F9">
        <w:rPr>
          <w:rFonts w:ascii="Arial" w:hAnsi="Arial" w:cs="Arial"/>
          <w:sz w:val="24"/>
          <w:szCs w:val="24"/>
        </w:rPr>
        <w:t>, estimados em cerca de R$ 3 milhões no mês de fevereiro, sendo posteriormente ajustados os cálculos para refletir corretamente a totalidade dos recursos.</w:t>
      </w:r>
      <w:r>
        <w:rPr>
          <w:rFonts w:ascii="Arial" w:hAnsi="Arial" w:cs="Arial"/>
          <w:sz w:val="24"/>
          <w:szCs w:val="24"/>
        </w:rPr>
        <w:t xml:space="preserve"> </w:t>
      </w:r>
      <w:r w:rsidRPr="000236F9">
        <w:rPr>
          <w:rFonts w:ascii="Arial" w:hAnsi="Arial" w:cs="Arial"/>
          <w:sz w:val="24"/>
          <w:szCs w:val="24"/>
        </w:rPr>
        <w:t>Na sequência, foi ressaltado que a adequada alocação dos recursos disponíveis tende a potencializar os resultados, em função da remuneração proporcionada pelos ativos conservadores. Os membros registraram a compreensão dos esclarecimentos apresentados e a adequação geral da carteira ao cenário econômico vigente, sendo reforçada a recomendação de manutenção de parcela relevante dos recursos em ativos conservadores, especialmente indexados ao CDI, IRF-M 1 e títulos públicos, alinhados ao objetivo de superação da meta atuarial no médio e longo prazo. O Sr. Rodrigo Guimarães informou, por fim, que permanecerá à disposição do Instituto, juntamente com a equipe técnica, para eventuais esclarecimentos adicionais.</w:t>
      </w:r>
      <w:r>
        <w:rPr>
          <w:rFonts w:ascii="Arial" w:hAnsi="Arial" w:cs="Arial"/>
          <w:sz w:val="24"/>
          <w:szCs w:val="24"/>
        </w:rPr>
        <w:t xml:space="preserve"> </w:t>
      </w:r>
      <w:r w:rsidRPr="000236F9">
        <w:rPr>
          <w:rFonts w:ascii="Arial" w:hAnsi="Arial" w:cs="Arial"/>
          <w:sz w:val="24"/>
          <w:szCs w:val="24"/>
        </w:rPr>
        <w:t>Nada mais havendo a tratar, após as considerações finais e agradecimentos, a Sra. Francielle Elgita de Oliveira Costa, Presidente do Comitê de Investimentos, declarou encerrada a reunião, e eu, Rosimery Aparecida Inácio de Pinho Procópio, ___________________, Secretária do Comitê de Investimentos, lavrei a presente ata, que, após lida e aprovada, será assinada por mim e pelos demais membros. Guanhães, 15 de abril de 2026.</w:t>
      </w:r>
    </w:p>
    <w:p w14:paraId="0C237C6E" w14:textId="77777777" w:rsidR="00545113" w:rsidRPr="001045C5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48693D62" w14:textId="77777777" w:rsidR="00545113" w:rsidRPr="001045C5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0864C600" w14:textId="3991EF86" w:rsidR="00545113" w:rsidRPr="001045C5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1045C5">
        <w:rPr>
          <w:rFonts w:ascii="Arial" w:hAnsi="Arial" w:cs="Arial"/>
          <w:sz w:val="24"/>
          <w:szCs w:val="24"/>
          <w:lang w:val="pt-BR"/>
        </w:rPr>
        <w:t xml:space="preserve">   Francielle Elgita de Oliveira Costa                    Rosimery Ap. Inácio de Pinho Procópio  </w:t>
      </w:r>
    </w:p>
    <w:p w14:paraId="1D0CA8F9" w14:textId="127E4510" w:rsidR="00545113" w:rsidRPr="001045C5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1045C5">
        <w:rPr>
          <w:rFonts w:ascii="Arial" w:hAnsi="Arial" w:cs="Arial"/>
          <w:sz w:val="24"/>
          <w:szCs w:val="24"/>
          <w:lang w:val="pt-BR"/>
        </w:rPr>
        <w:t>Presidente do Comitê/Gestor Recursos</w:t>
      </w:r>
      <w:r w:rsidRPr="001045C5">
        <w:rPr>
          <w:rFonts w:ascii="Arial" w:hAnsi="Arial" w:cs="Arial"/>
          <w:sz w:val="24"/>
          <w:szCs w:val="24"/>
          <w:lang w:val="pt-BR"/>
        </w:rPr>
        <w:tab/>
        <w:t xml:space="preserve">                                  Secretária</w:t>
      </w:r>
    </w:p>
    <w:p w14:paraId="677DC4BA" w14:textId="2EC316CC" w:rsidR="00545113" w:rsidRPr="001045C5" w:rsidRDefault="00545113" w:rsidP="00A25EEA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1045C5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10440EFE" w14:textId="77777777" w:rsidR="00A25EEA" w:rsidRPr="001045C5" w:rsidRDefault="00A25EEA" w:rsidP="00A25EEA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5EF10742" w14:textId="77777777" w:rsidR="00545113" w:rsidRPr="001045C5" w:rsidRDefault="00545113" w:rsidP="00545113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  <w:r w:rsidRPr="001045C5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5FB05A33" w14:textId="4A14CADD" w:rsidR="00545113" w:rsidRPr="001045C5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1045C5">
        <w:rPr>
          <w:rFonts w:ascii="Arial" w:hAnsi="Arial" w:cs="Arial"/>
          <w:sz w:val="24"/>
          <w:szCs w:val="24"/>
          <w:lang w:val="pt-BR"/>
        </w:rPr>
        <w:t>Cláudia Ap</w:t>
      </w:r>
      <w:r w:rsidR="0057268E" w:rsidRPr="001045C5">
        <w:rPr>
          <w:rFonts w:ascii="Arial" w:hAnsi="Arial" w:cs="Arial"/>
          <w:sz w:val="24"/>
          <w:szCs w:val="24"/>
          <w:lang w:val="pt-BR"/>
        </w:rPr>
        <w:t>.</w:t>
      </w:r>
      <w:r w:rsidRPr="001045C5">
        <w:rPr>
          <w:rFonts w:ascii="Arial" w:hAnsi="Arial" w:cs="Arial"/>
          <w:sz w:val="24"/>
          <w:szCs w:val="24"/>
          <w:lang w:val="pt-BR"/>
        </w:rPr>
        <w:t xml:space="preserve"> Monteiro dos Santos                                      Daniel Fernando da Silva</w:t>
      </w:r>
    </w:p>
    <w:p w14:paraId="0B812D99" w14:textId="0E20F26A" w:rsidR="00545113" w:rsidRPr="001045C5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1045C5">
        <w:rPr>
          <w:rFonts w:ascii="Arial" w:hAnsi="Arial" w:cs="Arial"/>
          <w:sz w:val="24"/>
          <w:szCs w:val="24"/>
          <w:lang w:val="pt-BR"/>
        </w:rPr>
        <w:t xml:space="preserve">                  Membro                                                                           </w:t>
      </w:r>
      <w:proofErr w:type="spellStart"/>
      <w:r w:rsidRPr="001045C5">
        <w:rPr>
          <w:rFonts w:ascii="Arial" w:hAnsi="Arial" w:cs="Arial"/>
          <w:sz w:val="24"/>
          <w:szCs w:val="24"/>
          <w:lang w:val="pt-BR"/>
        </w:rPr>
        <w:t>Membro</w:t>
      </w:r>
      <w:proofErr w:type="spellEnd"/>
    </w:p>
    <w:p w14:paraId="75BEFC9A" w14:textId="77777777" w:rsidR="00545113" w:rsidRPr="001045C5" w:rsidRDefault="00545113" w:rsidP="00545113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</w:p>
    <w:p w14:paraId="48EF05EF" w14:textId="77777777" w:rsidR="00545113" w:rsidRPr="001045C5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14C37CCA" w14:textId="77777777" w:rsidR="00545113" w:rsidRPr="001045C5" w:rsidRDefault="00545113" w:rsidP="00545113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  <w:r w:rsidRPr="001045C5">
        <w:rPr>
          <w:rFonts w:ascii="Arial" w:hAnsi="Arial" w:cs="Arial"/>
          <w:sz w:val="24"/>
          <w:szCs w:val="24"/>
          <w:lang w:val="pt-BR"/>
        </w:rPr>
        <w:t>Humberto Salvador Ferreira Lopes</w:t>
      </w:r>
    </w:p>
    <w:p w14:paraId="1AB0407D" w14:textId="5DFD6BC9" w:rsidR="00330475" w:rsidRPr="001045C5" w:rsidRDefault="00545113" w:rsidP="00C6427D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1045C5">
        <w:rPr>
          <w:rFonts w:ascii="Arial" w:hAnsi="Arial" w:cs="Arial"/>
          <w:sz w:val="24"/>
          <w:szCs w:val="24"/>
          <w:lang w:val="pt-BR"/>
        </w:rPr>
        <w:t>Membro</w:t>
      </w:r>
      <w:r w:rsidR="000D53E0" w:rsidRPr="001045C5">
        <w:rPr>
          <w:rFonts w:ascii="Arial" w:hAnsi="Arial" w:cs="Arial"/>
          <w:sz w:val="24"/>
          <w:szCs w:val="24"/>
        </w:rPr>
        <w:t xml:space="preserve"> </w:t>
      </w:r>
      <w:bookmarkEnd w:id="0"/>
    </w:p>
    <w:sectPr w:rsidR="00330475" w:rsidRPr="001045C5" w:rsidSect="008D0B50">
      <w:headerReference w:type="even" r:id="rId8"/>
      <w:headerReference w:type="default" r:id="rId9"/>
      <w:footerReference w:type="default" r:id="rId10"/>
      <w:headerReference w:type="first" r:id="rId11"/>
      <w:pgSz w:w="12176" w:h="16838"/>
      <w:pgMar w:top="1417" w:right="1416" w:bottom="426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547EF" w14:textId="77777777" w:rsidR="009B7211" w:rsidRDefault="009B7211" w:rsidP="00AE38A1">
      <w:pPr>
        <w:spacing w:after="0" w:line="240" w:lineRule="auto"/>
      </w:pPr>
      <w:r>
        <w:separator/>
      </w:r>
    </w:p>
  </w:endnote>
  <w:endnote w:type="continuationSeparator" w:id="0">
    <w:p w14:paraId="7D7A0689" w14:textId="77777777" w:rsidR="009B7211" w:rsidRDefault="009B7211" w:rsidP="00AE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5BDA" w14:textId="77777777" w:rsidR="00AC2144" w:rsidRDefault="006B11D8" w:rsidP="006B11D8">
    <w:pPr>
      <w:jc w:val="center"/>
    </w:pPr>
    <w:r>
      <w:rPr>
        <w:rFonts w:cstheme="minorHAnsi"/>
        <w:b/>
        <w:color w:val="17365D" w:themeColor="text2" w:themeShade="BF"/>
        <w:sz w:val="20"/>
        <w:szCs w:val="20"/>
      </w:rPr>
      <w:br/>
    </w:r>
    <w:r>
      <w:rPr>
        <w:rFonts w:cstheme="minorHAnsi"/>
        <w:b/>
        <w:color w:val="17365D" w:themeColor="text2" w:themeShade="BF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7D859" w14:textId="77777777" w:rsidR="009B7211" w:rsidRDefault="009B7211" w:rsidP="00AE38A1">
      <w:pPr>
        <w:spacing w:after="0" w:line="240" w:lineRule="auto"/>
      </w:pPr>
      <w:r>
        <w:separator/>
      </w:r>
    </w:p>
  </w:footnote>
  <w:footnote w:type="continuationSeparator" w:id="0">
    <w:p w14:paraId="21C7CD01" w14:textId="77777777" w:rsidR="009B7211" w:rsidRDefault="009B7211" w:rsidP="00AE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237C" w14:textId="77777777" w:rsidR="00AE38A1" w:rsidRDefault="00735508">
    <w:pPr>
      <w:pStyle w:val="Cabealho"/>
    </w:pPr>
    <w:r>
      <w:rPr>
        <w:noProof/>
      </w:rPr>
      <w:pict w14:anchorId="09AABE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7" o:spid="_x0000_s1026" type="#_x0000_t75" style="position:absolute;margin-left:0;margin-top:0;width:510.25pt;height:225.45pt;z-index:-251657216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22C2" w14:textId="77777777" w:rsidR="00AE38A1" w:rsidRPr="000E3358" w:rsidRDefault="00AC2144" w:rsidP="00AC2144">
    <w:pPr>
      <w:ind w:left="3119" w:hanging="425"/>
      <w:jc w:val="center"/>
      <w:rPr>
        <w:sz w:val="26"/>
        <w:szCs w:val="26"/>
      </w:rPr>
    </w:pPr>
    <w:bookmarkStart w:id="1" w:name="_Hlk126065799"/>
    <w:r w:rsidRPr="00BF77EC">
      <w:rPr>
        <w:noProof/>
        <w:sz w:val="28"/>
        <w:szCs w:val="28"/>
        <w:lang w:eastAsia="pt-BR"/>
      </w:rPr>
      <w:drawing>
        <wp:anchor distT="0" distB="0" distL="114300" distR="114300" simplePos="0" relativeHeight="251658752" behindDoc="1" locked="0" layoutInCell="1" allowOverlap="1" wp14:anchorId="7666C4BE" wp14:editId="5F969A0B">
          <wp:simplePos x="0" y="0"/>
          <wp:positionH relativeFrom="column">
            <wp:posOffset>139700</wp:posOffset>
          </wp:positionH>
          <wp:positionV relativeFrom="paragraph">
            <wp:posOffset>5080</wp:posOffset>
          </wp:positionV>
          <wp:extent cx="1952625" cy="714375"/>
          <wp:effectExtent l="0" t="0" r="9525" b="9525"/>
          <wp:wrapNone/>
          <wp:docPr id="1460209495" name="Imagem 1460209495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77EC">
      <w:rPr>
        <w:b/>
        <w:sz w:val="28"/>
        <w:szCs w:val="28"/>
      </w:rPr>
      <w:t xml:space="preserve">     </w:t>
    </w:r>
    <w:r w:rsidRPr="000E3358">
      <w:rPr>
        <w:b/>
        <w:i/>
        <w:iCs/>
        <w:sz w:val="26"/>
        <w:szCs w:val="26"/>
        <w:u w:val="single"/>
      </w:rPr>
      <w:t xml:space="preserve">INSTITUTO DE PREVIDÊNCIA DOS SERVIDORES PÚBLICOS   </w:t>
    </w:r>
    <w:r w:rsidRPr="000E3358">
      <w:rPr>
        <w:b/>
        <w:i/>
        <w:iCs/>
        <w:sz w:val="26"/>
        <w:szCs w:val="26"/>
        <w:u w:val="single"/>
      </w:rPr>
      <w:br/>
      <w:t>DO MUNICÍPIO DE GUANHÃES</w:t>
    </w:r>
    <w:r w:rsidRPr="000E3358">
      <w:rPr>
        <w:b/>
        <w:i/>
        <w:iCs/>
        <w:sz w:val="26"/>
        <w:szCs w:val="26"/>
      </w:rPr>
      <w:t>-</w:t>
    </w:r>
    <w:r w:rsidRPr="000E3358">
      <w:rPr>
        <w:b/>
        <w:i/>
        <w:iCs/>
        <w:sz w:val="26"/>
        <w:szCs w:val="26"/>
        <w:u w:val="single"/>
      </w:rPr>
      <w:t>GUANHÃESPREV</w:t>
    </w:r>
    <w:r w:rsidRPr="000E3358">
      <w:rPr>
        <w:b/>
        <w:i/>
        <w:iCs/>
        <w:sz w:val="26"/>
        <w:szCs w:val="26"/>
        <w:u w:val="single"/>
      </w:rPr>
      <w:br/>
      <w:t>CNPJ: 05.518.895/0001-74</w:t>
    </w:r>
    <w:bookmarkEnd w:id="1"/>
    <w:r w:rsidR="00735508">
      <w:rPr>
        <w:noProof/>
        <w:sz w:val="26"/>
        <w:szCs w:val="26"/>
      </w:rPr>
      <w:pict w14:anchorId="2FA07C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8" o:spid="_x0000_s1027" type="#_x0000_t75" style="position:absolute;left:0;text-align:left;margin-left:0;margin-top:0;width:510.25pt;height:225.45pt;z-index:-251656192;mso-position-horizontal:center;mso-position-horizontal-relative:margin;mso-position-vertical:center;mso-position-vertical-relative:margin" o:allowincell="f">
          <v:imagedata r:id="rId2" o:title="TIMBRE_page-00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6E8A" w14:textId="77777777" w:rsidR="00AE38A1" w:rsidRDefault="00735508">
    <w:pPr>
      <w:pStyle w:val="Cabealho"/>
    </w:pPr>
    <w:r>
      <w:rPr>
        <w:noProof/>
      </w:rPr>
      <w:pict w14:anchorId="3AE55D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6" o:spid="_x0000_s1025" type="#_x0000_t75" style="position:absolute;margin-left:0;margin-top:0;width:510.25pt;height:225.45pt;z-index:-251658240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B2869"/>
    <w:multiLevelType w:val="hybridMultilevel"/>
    <w:tmpl w:val="03A8BC7A"/>
    <w:lvl w:ilvl="0" w:tplc="1E727F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77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B3B"/>
    <w:rsid w:val="00030786"/>
    <w:rsid w:val="000B5CE0"/>
    <w:rsid w:val="000D0CC5"/>
    <w:rsid w:val="000D53E0"/>
    <w:rsid w:val="000E3358"/>
    <w:rsid w:val="001045C5"/>
    <w:rsid w:val="00172DFF"/>
    <w:rsid w:val="001B5069"/>
    <w:rsid w:val="002200E2"/>
    <w:rsid w:val="00282571"/>
    <w:rsid w:val="0029534C"/>
    <w:rsid w:val="00296CEB"/>
    <w:rsid w:val="002B1AEE"/>
    <w:rsid w:val="00330475"/>
    <w:rsid w:val="00341993"/>
    <w:rsid w:val="003F6D65"/>
    <w:rsid w:val="004000D1"/>
    <w:rsid w:val="00441214"/>
    <w:rsid w:val="004716A4"/>
    <w:rsid w:val="004B4FFC"/>
    <w:rsid w:val="004C0962"/>
    <w:rsid w:val="004E4260"/>
    <w:rsid w:val="004E79D2"/>
    <w:rsid w:val="00507688"/>
    <w:rsid w:val="00545113"/>
    <w:rsid w:val="00546B76"/>
    <w:rsid w:val="005704B1"/>
    <w:rsid w:val="0057268E"/>
    <w:rsid w:val="00572B3B"/>
    <w:rsid w:val="005842D0"/>
    <w:rsid w:val="005B1CFB"/>
    <w:rsid w:val="005E5F49"/>
    <w:rsid w:val="005F3F22"/>
    <w:rsid w:val="0067285F"/>
    <w:rsid w:val="006B11D8"/>
    <w:rsid w:val="006C3CDA"/>
    <w:rsid w:val="00735508"/>
    <w:rsid w:val="0076343C"/>
    <w:rsid w:val="007E24A2"/>
    <w:rsid w:val="007E76D8"/>
    <w:rsid w:val="007E7D33"/>
    <w:rsid w:val="008534CA"/>
    <w:rsid w:val="008766CE"/>
    <w:rsid w:val="0089589A"/>
    <w:rsid w:val="008D0B50"/>
    <w:rsid w:val="008F28B9"/>
    <w:rsid w:val="00904BB9"/>
    <w:rsid w:val="009510E3"/>
    <w:rsid w:val="00954710"/>
    <w:rsid w:val="00982FF5"/>
    <w:rsid w:val="009832CF"/>
    <w:rsid w:val="009B7211"/>
    <w:rsid w:val="009D2F22"/>
    <w:rsid w:val="009F1207"/>
    <w:rsid w:val="00A010B0"/>
    <w:rsid w:val="00A02893"/>
    <w:rsid w:val="00A11D24"/>
    <w:rsid w:val="00A25EEA"/>
    <w:rsid w:val="00A43236"/>
    <w:rsid w:val="00A63B63"/>
    <w:rsid w:val="00A72010"/>
    <w:rsid w:val="00A77661"/>
    <w:rsid w:val="00A95D75"/>
    <w:rsid w:val="00AA6AC1"/>
    <w:rsid w:val="00AC2144"/>
    <w:rsid w:val="00AD7B05"/>
    <w:rsid w:val="00AE3618"/>
    <w:rsid w:val="00AE38A1"/>
    <w:rsid w:val="00B132A1"/>
    <w:rsid w:val="00B35FE0"/>
    <w:rsid w:val="00B41B2B"/>
    <w:rsid w:val="00BE4177"/>
    <w:rsid w:val="00BF77EC"/>
    <w:rsid w:val="00C04A52"/>
    <w:rsid w:val="00C6427D"/>
    <w:rsid w:val="00C72B68"/>
    <w:rsid w:val="00CC78C7"/>
    <w:rsid w:val="00CE5B13"/>
    <w:rsid w:val="00D16E8F"/>
    <w:rsid w:val="00D22C3F"/>
    <w:rsid w:val="00D25559"/>
    <w:rsid w:val="00D25F84"/>
    <w:rsid w:val="00D834D3"/>
    <w:rsid w:val="00DA3E9B"/>
    <w:rsid w:val="00E12E13"/>
    <w:rsid w:val="00E22896"/>
    <w:rsid w:val="00E3768E"/>
    <w:rsid w:val="00EB508A"/>
    <w:rsid w:val="00EC567C"/>
    <w:rsid w:val="00EC56A7"/>
    <w:rsid w:val="00ED1652"/>
    <w:rsid w:val="00F22050"/>
    <w:rsid w:val="00F40679"/>
    <w:rsid w:val="00FA5082"/>
    <w:rsid w:val="00FD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F02CA"/>
  <w15:docId w15:val="{D3EEFC45-AD79-44B1-9B69-ABB95EBF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76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98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8A1"/>
  </w:style>
  <w:style w:type="paragraph" w:styleId="Rodap">
    <w:name w:val="footer"/>
    <w:basedOn w:val="Normal"/>
    <w:link w:val="Rodap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8A1"/>
  </w:style>
  <w:style w:type="character" w:styleId="MenoPendente">
    <w:name w:val="Unresolved Mention"/>
    <w:basedOn w:val="Fontepargpadro"/>
    <w:uiPriority w:val="99"/>
    <w:semiHidden/>
    <w:unhideWhenUsed/>
    <w:rsid w:val="006B11D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D0CC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SemEspaamento">
    <w:name w:val="No Spacing"/>
    <w:uiPriority w:val="1"/>
    <w:qFormat/>
    <w:rsid w:val="00545113"/>
    <w:pPr>
      <w:spacing w:after="0" w:line="240" w:lineRule="auto"/>
    </w:pPr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A720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C2435-826A-465E-8D50-C39ACE9D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1417</Words>
  <Characters>7656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Cliente</cp:lastModifiedBy>
  <cp:revision>18</cp:revision>
  <cp:lastPrinted>2025-11-14T17:47:00Z</cp:lastPrinted>
  <dcterms:created xsi:type="dcterms:W3CDTF">2025-09-26T13:52:00Z</dcterms:created>
  <dcterms:modified xsi:type="dcterms:W3CDTF">2026-04-30T16:13:00Z</dcterms:modified>
</cp:coreProperties>
</file>